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B2" w:rsidRPr="004834B2" w:rsidRDefault="004834B2" w:rsidP="004834B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834B2">
        <w:rPr>
          <w:rFonts w:ascii="Times New Roman" w:eastAsia="Times New Roman" w:hAnsi="Times New Roman" w:cs="Times New Roman"/>
          <w:sz w:val="24"/>
          <w:szCs w:val="24"/>
        </w:rPr>
        <w:t xml:space="preserve">Jožko MRKVIČKA, trvale bytom, Ulica </w:t>
      </w:r>
      <w:proofErr w:type="spellStart"/>
      <w:r w:rsidRPr="004834B2">
        <w:rPr>
          <w:rFonts w:ascii="Times New Roman" w:eastAsia="Times New Roman" w:hAnsi="Times New Roman" w:cs="Times New Roman"/>
          <w:sz w:val="24"/>
          <w:szCs w:val="24"/>
        </w:rPr>
        <w:t>xy</w:t>
      </w:r>
      <w:proofErr w:type="spellEnd"/>
      <w:r w:rsidRPr="004834B2">
        <w:rPr>
          <w:rFonts w:ascii="Times New Roman" w:eastAsia="Times New Roman" w:hAnsi="Times New Roman" w:cs="Times New Roman"/>
          <w:sz w:val="24"/>
          <w:szCs w:val="24"/>
        </w:rPr>
        <w:t xml:space="preserve"> , 132 45 XX </w:t>
      </w:r>
      <w:proofErr w:type="spellStart"/>
      <w:r w:rsidRPr="004834B2">
        <w:rPr>
          <w:rFonts w:ascii="Times New Roman" w:eastAsia="Times New Roman" w:hAnsi="Times New Roman" w:cs="Times New Roman"/>
          <w:sz w:val="24"/>
          <w:szCs w:val="24"/>
        </w:rPr>
        <w:t>XX</w:t>
      </w:r>
      <w:proofErr w:type="spellEnd"/>
    </w:p>
    <w:p w:rsidR="004834B2" w:rsidRPr="004834B2" w:rsidRDefault="004834B2" w:rsidP="004834B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8"/>
          <w:sz w:val="25"/>
          <w:szCs w:val="25"/>
          <w:lang w:eastAsia="cs-CZ"/>
        </w:rPr>
      </w:pPr>
      <w:r w:rsidRPr="004834B2">
        <w:rPr>
          <w:rFonts w:ascii="Times New Roman" w:eastAsia="Times New Roman" w:hAnsi="Times New Roman" w:cs="Times New Roman"/>
          <w:spacing w:val="28"/>
          <w:sz w:val="25"/>
          <w:szCs w:val="25"/>
          <w:lang w:eastAsia="cs-CZ"/>
        </w:rPr>
        <w:t xml:space="preserve">                                      </w:t>
      </w:r>
    </w:p>
    <w:p w:rsidR="004834B2" w:rsidRPr="004834B2" w:rsidRDefault="004834B2" w:rsidP="004834B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caps/>
          <w:spacing w:val="102"/>
          <w:sz w:val="4"/>
          <w:szCs w:val="4"/>
          <w:lang w:eastAsia="sk-SK"/>
        </w:rPr>
      </w:pPr>
    </w:p>
    <w:p w:rsidR="004834B2" w:rsidRPr="004834B2" w:rsidRDefault="004834B2" w:rsidP="004834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34B2" w:rsidRPr="004834B2" w:rsidRDefault="004834B2" w:rsidP="00483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834B2" w:rsidRPr="004834B2" w:rsidRDefault="004834B2" w:rsidP="004834B2">
      <w:pPr>
        <w:shd w:val="clear" w:color="auto" w:fill="FFFFFF"/>
        <w:tabs>
          <w:tab w:val="left" w:pos="4111"/>
          <w:tab w:val="left" w:pos="4536"/>
          <w:tab w:val="left" w:pos="859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50"/>
          <w:szCs w:val="50"/>
        </w:rPr>
        <w:tab/>
      </w:r>
      <w:r w:rsidRPr="004834B2">
        <w:rPr>
          <w:rFonts w:ascii="Times New Roman" w:eastAsia="Calibri" w:hAnsi="Times New Roman" w:cs="Times New Roman"/>
          <w:sz w:val="50"/>
          <w:szCs w:val="50"/>
        </w:rPr>
        <w:tab/>
        <w:t>•</w:t>
      </w:r>
      <w:r w:rsidRPr="004834B2">
        <w:rPr>
          <w:rFonts w:ascii="Times New Roman" w:eastAsia="Calibri" w:hAnsi="Times New Roman" w:cs="Times New Roman"/>
          <w:sz w:val="50"/>
          <w:szCs w:val="50"/>
        </w:rPr>
        <w:tab/>
        <w:t xml:space="preserve">  •</w:t>
      </w:r>
    </w:p>
    <w:p w:rsidR="004834B2" w:rsidRPr="004834B2" w:rsidRDefault="004834B2" w:rsidP="004834B2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  <w:t>MESTO NOVÉ ZÁMKY</w:t>
      </w:r>
    </w:p>
    <w:p w:rsidR="004834B2" w:rsidRPr="004834B2" w:rsidRDefault="004834B2" w:rsidP="004834B2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</w:p>
    <w:p w:rsidR="004834B2" w:rsidRPr="004834B2" w:rsidRDefault="004834B2" w:rsidP="004834B2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  <w:t>Hlavné Námestie 10</w:t>
      </w:r>
    </w:p>
    <w:p w:rsidR="004834B2" w:rsidRPr="004834B2" w:rsidRDefault="004834B2" w:rsidP="004834B2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  <w:t>940 02  Nové Zámky</w:t>
      </w:r>
    </w:p>
    <w:p w:rsidR="004834B2" w:rsidRPr="004834B2" w:rsidRDefault="004834B2" w:rsidP="004834B2">
      <w:pPr>
        <w:shd w:val="clear" w:color="auto" w:fill="FFFFFF"/>
        <w:tabs>
          <w:tab w:val="left" w:pos="4111"/>
          <w:tab w:val="left" w:pos="4536"/>
          <w:tab w:val="left" w:pos="859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50"/>
          <w:szCs w:val="50"/>
        </w:rPr>
        <w:tab/>
      </w:r>
      <w:r w:rsidRPr="004834B2">
        <w:rPr>
          <w:rFonts w:ascii="Times New Roman" w:eastAsia="Calibri" w:hAnsi="Times New Roman" w:cs="Times New Roman"/>
          <w:sz w:val="50"/>
          <w:szCs w:val="50"/>
        </w:rPr>
        <w:tab/>
        <w:t>•</w:t>
      </w:r>
      <w:r w:rsidRPr="004834B2">
        <w:rPr>
          <w:rFonts w:ascii="Times New Roman" w:eastAsia="Calibri" w:hAnsi="Times New Roman" w:cs="Times New Roman"/>
          <w:sz w:val="50"/>
          <w:szCs w:val="50"/>
        </w:rPr>
        <w:tab/>
        <w:t xml:space="preserve">  •</w:t>
      </w:r>
    </w:p>
    <w:p w:rsidR="004834B2" w:rsidRPr="004834B2" w:rsidRDefault="004834B2" w:rsidP="004834B2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</w:p>
    <w:p w:rsidR="004834B2" w:rsidRPr="004834B2" w:rsidRDefault="004834B2" w:rsidP="004834B2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834B2">
        <w:rPr>
          <w:rFonts w:ascii="Times New Roman" w:eastAsia="Calibri" w:hAnsi="Times New Roman" w:cs="Times New Roman"/>
          <w:b/>
          <w:sz w:val="24"/>
          <w:szCs w:val="24"/>
        </w:rPr>
        <w:t>Vec</w:t>
      </w:r>
    </w:p>
    <w:p w:rsidR="004834B2" w:rsidRPr="004834B2" w:rsidRDefault="00754405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645">
        <w:rPr>
          <w:rFonts w:ascii="Times New Roman" w:eastAsia="Calibri" w:hAnsi="Times New Roman" w:cs="Times New Roman"/>
          <w:sz w:val="24"/>
          <w:szCs w:val="24"/>
        </w:rPr>
        <w:t>Žiadosť o účastníctvo v konaní a ž</w:t>
      </w:r>
      <w:r w:rsidR="004834B2" w:rsidRPr="004834B2">
        <w:rPr>
          <w:rFonts w:ascii="Times New Roman" w:eastAsia="Calibri" w:hAnsi="Times New Roman" w:cs="Times New Roman"/>
          <w:sz w:val="24"/>
          <w:szCs w:val="24"/>
        </w:rPr>
        <w:t>iadosť o rešpektovanie práv účastníka konania</w:t>
      </w:r>
      <w:r w:rsidRPr="004F1645">
        <w:rPr>
          <w:rFonts w:ascii="Times New Roman" w:eastAsia="Calibri" w:hAnsi="Times New Roman" w:cs="Times New Roman"/>
          <w:sz w:val="24"/>
          <w:szCs w:val="24"/>
        </w:rPr>
        <w:t>, prihlásenie sa do konania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7" o:spid="_x0000_s1027" type="#_x0000_t32" style="position:absolute;left:0;text-align:left;margin-left:0;margin-top:1.6pt;width:279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"/>
        </w:pict>
      </w:r>
    </w:p>
    <w:p w:rsidR="004834B2" w:rsidRPr="004F1645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F1645">
        <w:rPr>
          <w:rFonts w:ascii="Times New Roman" w:eastAsia="Calibri" w:hAnsi="Times New Roman" w:cs="Times New Roman"/>
          <w:color w:val="000000"/>
          <w:sz w:val="24"/>
          <w:szCs w:val="24"/>
        </w:rPr>
        <w:t>Príslušnému stavebnému úradu bol dňa 21. 10. 2021 spoločnosťou UMYAUTO s.r.o.</w:t>
      </w:r>
      <w:r w:rsidRPr="004834B2">
        <w:rPr>
          <w:rFonts w:ascii="Times New Roman" w:eastAsia="Calibri" w:hAnsi="Times New Roman" w:cs="Times New Roman"/>
          <w:color w:val="000000"/>
        </w:rPr>
        <w:br/>
      </w:r>
      <w:r w:rsidRPr="004F1645">
        <w:rPr>
          <w:rFonts w:ascii="Times New Roman" w:eastAsia="Calibri" w:hAnsi="Times New Roman" w:cs="Times New Roman"/>
          <w:color w:val="000000"/>
          <w:sz w:val="24"/>
          <w:szCs w:val="24"/>
        </w:rPr>
        <w:t>doručený „Návrh na vydanie územného rozhodnutia o umiestnení stavby v súlade s § 35</w:t>
      </w:r>
      <w:r w:rsidRPr="004834B2">
        <w:rPr>
          <w:rFonts w:ascii="Times New Roman" w:eastAsia="Calibri" w:hAnsi="Times New Roman" w:cs="Times New Roman"/>
          <w:color w:val="000000"/>
        </w:rPr>
        <w:br/>
      </w:r>
      <w:r w:rsidRPr="004F1645">
        <w:rPr>
          <w:rFonts w:ascii="Times New Roman" w:eastAsia="Calibri" w:hAnsi="Times New Roman" w:cs="Times New Roman"/>
          <w:color w:val="000000"/>
          <w:sz w:val="24"/>
          <w:szCs w:val="24"/>
        </w:rPr>
        <w:t>ods. 1 zákona č. 50/1976 Zb. o územnom plánovaní a stavebnom poriadku (stavebný zákon)</w:t>
      </w:r>
      <w:r w:rsidRPr="004834B2">
        <w:rPr>
          <w:rFonts w:ascii="Times New Roman" w:eastAsia="Calibri" w:hAnsi="Times New Roman" w:cs="Times New Roman"/>
          <w:color w:val="000000"/>
        </w:rPr>
        <w:br/>
      </w:r>
      <w:r w:rsidRPr="004F1645">
        <w:rPr>
          <w:rFonts w:ascii="Times New Roman" w:eastAsia="Calibri" w:hAnsi="Times New Roman" w:cs="Times New Roman"/>
          <w:color w:val="000000"/>
          <w:sz w:val="24"/>
          <w:szCs w:val="24"/>
        </w:rPr>
        <w:t>v znení neskorších predpisov a § 3 vyhlášky č. 453/2000 Z. z.“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V zmysle zákona č. 50/1976 o územnom plánovaní a stavebnom poriadku (Stavebný zákon) žiadam, aby bolo rešpektované moje postavenie účastníka konania v konaní o umiestnení stavby „Centrum služieb NZ“ </w:t>
      </w:r>
      <w:r w:rsidRPr="004834B2">
        <w:rPr>
          <w:rFonts w:ascii="Times New Roman" w:eastAsia="Calibri" w:hAnsi="Times New Roman" w:cs="Times New Roman"/>
          <w:color w:val="000000"/>
        </w:rPr>
        <w:t>(ďalej len „</w:t>
      </w:r>
      <w:r w:rsidRPr="004834B2">
        <w:rPr>
          <w:rFonts w:ascii="Times New Roman" w:eastAsia="Calibri" w:hAnsi="Times New Roman" w:cs="Times New Roman"/>
          <w:b/>
          <w:color w:val="000000"/>
        </w:rPr>
        <w:t xml:space="preserve">predmetná </w:t>
      </w:r>
      <w:r w:rsidRPr="004834B2">
        <w:rPr>
          <w:rFonts w:ascii="Times New Roman" w:eastAsia="Calibri" w:hAnsi="Times New Roman" w:cs="Times New Roman"/>
          <w:b/>
          <w:bCs/>
          <w:color w:val="000000"/>
        </w:rPr>
        <w:t>stavba</w:t>
      </w:r>
      <w:r w:rsidRPr="004834B2">
        <w:rPr>
          <w:rFonts w:ascii="Times New Roman" w:eastAsia="Calibri" w:hAnsi="Times New Roman" w:cs="Times New Roman"/>
          <w:color w:val="000000"/>
        </w:rPr>
        <w:t>“)</w:t>
      </w: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na pozemku </w:t>
      </w:r>
      <w:proofErr w:type="spellStart"/>
      <w:r w:rsidRPr="004834B2">
        <w:rPr>
          <w:rFonts w:ascii="Times New Roman" w:eastAsia="Calibri" w:hAnsi="Times New Roman" w:cs="Times New Roman"/>
          <w:color w:val="000000"/>
        </w:rPr>
        <w:t>parc</w:t>
      </w:r>
      <w:proofErr w:type="spellEnd"/>
      <w:r w:rsidRPr="004834B2">
        <w:rPr>
          <w:rFonts w:ascii="Times New Roman" w:eastAsia="Calibri" w:hAnsi="Times New Roman" w:cs="Times New Roman"/>
          <w:color w:val="000000"/>
        </w:rPr>
        <w:t>. č. 7201/72 ostatné plochy o výmere 27192 m</w:t>
      </w:r>
      <w:r w:rsidRPr="004834B2">
        <w:rPr>
          <w:rFonts w:ascii="Times New Roman" w:eastAsia="Calibri" w:hAnsi="Times New Roman" w:cs="Times New Roman"/>
          <w:color w:val="000000"/>
          <w:sz w:val="14"/>
        </w:rPr>
        <w:t>2</w:t>
      </w:r>
      <w:r w:rsidRPr="004834B2">
        <w:rPr>
          <w:rFonts w:ascii="Times New Roman" w:eastAsia="Calibri" w:hAnsi="Times New Roman" w:cs="Times New Roman"/>
          <w:color w:val="000000"/>
        </w:rPr>
        <w:t>, vedenom na LV č. 1 pre katastrálne územie Nové Zámky v registri „C“ KN, (ďalej len „</w:t>
      </w:r>
      <w:r w:rsidRPr="004834B2">
        <w:rPr>
          <w:rFonts w:ascii="Times New Roman" w:eastAsia="Calibri" w:hAnsi="Times New Roman" w:cs="Times New Roman"/>
          <w:b/>
          <w:bCs/>
          <w:color w:val="000000"/>
        </w:rPr>
        <w:t>dotknutý pozemok</w:t>
      </w:r>
      <w:r w:rsidRPr="004834B2">
        <w:rPr>
          <w:rFonts w:ascii="Times New Roman" w:eastAsia="Calibri" w:hAnsi="Times New Roman" w:cs="Times New Roman"/>
          <w:color w:val="000000"/>
        </w:rPr>
        <w:t>“).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Som vlastníkom nehnuteľnosti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xyz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na pozemku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parc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. č.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xyz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v katastrálnom území Nové Zámky, a ktorá je vzdialený asi 60 metrov od dotknutého pozemku, na ktorom má stáť predmetná stavba. 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Podľa § 34 ods. 2 zákona č. 50/1976 Zb. Stavebného zákona „V územnom konaní o umiestnení stavby, o využívaní územia, o stavebnej uzávere a o ochrannom pásme sú účastníkmi konania aj právnické osoby a fyzické osoby, ktorých vlastnícke alebo iné práva k pozemkom alebo stavbám, ako aj k susedným pozemkom a stavbám vrátane bytov môžu byť rozhodnutím priamo dotknuté.“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Podľa § 139 ods. 2 písm. d) Stavebného zákona sa „susednou stavbou“ rozumie „aj  stavba na takom pozemku, ktorý nemá síce spoločnú hranicu s pozemkom, o ktorý v konaní podľa tohto zákona ide, ale jej užívanie môže byť navrhovanou stavbou dotknuté“.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Rozhodnutím o umiestnení predmetnej stavby môžu byť jednoznačne dotknuté moje vlastnícke práva a užívanie môjho rodinného domu</w:t>
      </w:r>
      <w:r w:rsidR="004F1645">
        <w:rPr>
          <w:rFonts w:ascii="Times New Roman" w:eastAsia="Calibri" w:hAnsi="Times New Roman" w:cs="Times New Roman"/>
          <w:sz w:val="24"/>
          <w:szCs w:val="24"/>
        </w:rPr>
        <w:t xml:space="preserve"> /Bytu.../</w:t>
      </w: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(resp. právo na nerušené užívanie </w:t>
      </w:r>
      <w:r w:rsidRPr="004834B2">
        <w:rPr>
          <w:rFonts w:ascii="Times New Roman" w:eastAsia="Calibri" w:hAnsi="Times New Roman" w:cs="Times New Roman"/>
          <w:sz w:val="24"/>
          <w:szCs w:val="24"/>
        </w:rPr>
        <w:lastRenderedPageBreak/>
        <w:t>mojej nehnuteľností a právo na pohodu a kvalitu bývania), pretože plánovaná stavba a prevádzka bude zdrojom hluku</w:t>
      </w:r>
      <w:r w:rsidR="004F1645">
        <w:rPr>
          <w:rFonts w:ascii="Times New Roman" w:eastAsia="Calibri" w:hAnsi="Times New Roman" w:cs="Times New Roman"/>
          <w:sz w:val="24"/>
          <w:szCs w:val="24"/>
        </w:rPr>
        <w:t>.</w:t>
      </w: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Vychádzam z dokumentu na str. 10 ods. 1 viď nižšie.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6" w:history="1">
        <w:r w:rsidRPr="004F164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https://www.novezamky.sk/assets/File.ashx?id_org=700036</w:t>
        </w:r>
      </w:hyperlink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... V zastavanej časti mesta sú  určité regulatívy a normy hygieny. Pre vonkajší priestor v obytnom a rekreačnom území, pod oknami obytných miestností, školských a zdravotníckych zariadení a pod. v súčasnosti platí prípustná hodnota ekvivalentnej hladiny hluku pre pozemnú dopravu a rôznych stacionárnych zdrojov (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LAeq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) 50 dB. 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Podotýkam, že k okruhu účastníkov stavebného konania sa viackrát vyslovili aj súdy. Krajský súd v Bratislave sa v rozsudku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sp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>. zn. 19 S 269/02 zo dňa 28. 4. 2003 vyjadril k okruhu účastníkov konania podľa stavebného zákona. V rozsudku súd uvádza: „V tejto súvislosti súd upozorňuje na § 139 ods. 2 písm. d) stavebného zákona, podľa ktorého sa pod pojmom susedná stavba rozumie aj stavba na takom pozemku, ktorý síce nemá spoločnú hranicu s pozemkom, o ktorý v konaní podľa tohto zákona ide, ale jej užívanie môže byť navrhovanou stavbou dotknuté. Žalovaný si nesprávne vyložil pojem susedné pozemky a stavby tak, že ide len o pozemky, ktoré majú spoločnú hranicu s pozemkom, ktorý je predmetom správneho konania podľa tohto zákona a stavby na týchto pozemkoch (§ 139 ods. 2 písm. c) stavebného zákona), pričom sa vôbec nezaoberal pojmom susedná stavba definovaným v písm. d) citovaného zákonného ustanovenia. ... Žalobca však nepochybne osvedčil vlastnícke právo k susednej stavbe, ktorú ako pojem treba vykladať v súlade s § 139 ods. 2 písm. d) stavebného zákona ako stavba na takom pozemku, ktorý síce nemá spoločnú hranicu s pozemkom, o ktorý v konaní podľa tohto zákona ide, ale jej užívanie môže byť navrhovanou stavbou dotknuté.“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Krajský súd v Bratislave v rozsudku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sp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>. zn. 19 S 269/02 tiež uvádza: „...pre účasť v konaní nie je podstatné to, či skutočne príde k zásahu do jeho vlastníckeho práva, ale postačuje len možnosť zásahu do niektorého z vlastníckych oprávnení, čo znamená, že pre účasť v konaní nie je podstatné to, či skutočne príde k zásahu do jeho vlastníckeho práva, ale postačuje i len možnosť, že k takémuto zásahu môže prísť. Medzi práva žalobcu nesporne patrí i právo na nerušené užívanie nehnuteľnosti a právo na ochranu proti akýmkoľvek neoprávneným zásahom do vlastníckeho práva. Stavebný zákon vo svojich ustanoveniach upravujúcich účastníctvo v konaní chráni občanov pred neoprávnenými zásahmi do ich vlastníckeho práva tým, že im umožňuje uplatniť námietky a chrániť svoje práva a záujmy v stavebnom konaní v postavení účastníkov konania, ak ich práva môžu byť stavebným konaním dotknuté.“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K vymedzeniu okruhu účastníkov územného a stavebného konania sa vyjadril aj Najvyšší správny súd ČR. 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Podľa rozhodnutia Najvyššieho správneho súdu ČR č. 8/2008 (zverejneného v zbierke Najvyššieho správneho súdu http://www.nssoud.cz/main.aspx?cls=SbirkaVetyList&amp;ID=-1727) „Neurčitý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právní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pojem „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přímo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dotčen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vlastnickém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právu“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ve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smyslu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§ 34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odst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stavebního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zákona z roku 1976 je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nutno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interpretovat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vždy s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ohledem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na okolnosti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spočívající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v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povaze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umísťované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stavby a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jejích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možných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dopadech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na okolí.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Přímým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dotčením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vlastníka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nemovitostí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na jeho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vlastnickém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či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jiném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právu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může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být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dotčení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vlastníka zvýšenou hlukovou hladinou nebo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jiným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znečištěním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způsobeným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intenzitou dopravy v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důsledku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34B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rozhodnutí o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umístění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velkoskladu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který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bude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zásobován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denně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přijíždějícími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odjíždějícími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kamióny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pohybujícími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se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tak v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bezprostřední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blízkosti jeho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nemovitosti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.“ 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Podľa rozsudku Najvyššieho správneho súdu ČR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sp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. zn. 3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As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46/2007 (dostupný na http://195.39.33.40/main.aspx?cls=anonymZneni&amp;id=14433) „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závěr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potenciálním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dotčení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právech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žalobců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tudíž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jejich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žádoucí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účasti v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předmětných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řízeních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odůvodňuje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rovněž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charakter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povolovaných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staveb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. ... Ani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soulad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s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územním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plánem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, resp. jeho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změnou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pak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nic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nemění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na možnosti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dotčení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práv a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oprávněných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zájmů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žalobců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konečnými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rozhodnutími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. ... Jen zvýšený automobilový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provoz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který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s sebou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nutně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přinese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stavba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zpevněných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ploch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s parkovacími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místy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garážemi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, je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dostatečným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důvodem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pro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to, aby byli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žalobci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zahrnuti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jako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účastníci i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ohledně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tohoto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stavebního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řízení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>.“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Poukazujem aj na publikované uznesenie Najvyššieho súdu SR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sp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. zn. 1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Sžo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3/2007 (zverejnené v časopise Zo súdnej praxe, 4/2008, str. 152-154), v ktorom najvyšší súd posudzoval žalobu žalobkyne proti rozhodnutiu o umiestnení stavby „Rekreačná chata, žumpa a prípojky inžinierskych sietí“. Vo veci šlo o posúdenie, či žalobkyňa, ktorá vlastnila chatu v blízkosti plánovanej stavby, hoci nevlastnila susedný pozemok, mala byť účastníčkou územného konania o umiestnení stavby rekreačnej chaty. Účastníctvo v konaní o umiestnení stavby je v § 34 Stavebného zákona vymedzené rovnakým spôsobom ako účastníctvo v stavebnom konaní. Najvyšší súd SR v uznesení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sp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. zn. 1 </w:t>
      </w:r>
      <w:proofErr w:type="spellStart"/>
      <w:r w:rsidRPr="004834B2">
        <w:rPr>
          <w:rFonts w:ascii="Times New Roman" w:eastAsia="Calibri" w:hAnsi="Times New Roman" w:cs="Times New Roman"/>
          <w:sz w:val="24"/>
          <w:szCs w:val="24"/>
        </w:rPr>
        <w:t>Sžo</w:t>
      </w:r>
      <w:proofErr w:type="spellEnd"/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3/2007 uviedol: „Rekreačná chata vo vlastníctve žalobkyne, ktorá je umiestnená na pozemku, je v zmysle § 139 ods. 2 písm. d) stavebného zákona „susednou stavbou“, pretože je stavbou na takom pozemku, ktorý síce nemá spoločnú hranicu s pozemkom, o ktorý v konaní podľa tohto zákona ide, ale jej užívanie môže byť navrhovanou stavbou dotknuté. Vzhľadom na uvedené skutočnosti podľa názoru odvolacieho súdu správne orgány nepochybili, keď so žalobkyňou konali ako s účastníčkou správneho konania a preto aj v zmysle § 250 ods. 1 OSP má aktívnu legitimáciu na podanie žaloby na súd a domáhať sa ňou preskúmania zákonnosti správneho rozhodnutia.“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Na základe vyššie uvedeného je jednoznačné, že mám postavenie účastníka konania v konaní o umiestnení predmetnej stavby. 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V zmysle zákona č. 71/1967 Zb. o správnom konaní a zákona č. 50/1976 Zb. (Stavebného zákona) má účastník konania právo byť upovedomený o začatí konania, byť prizvaný na ústne pojednávanie a miestnu ohliadku, má právo nazerať do spisov, robiť si z nich výpisy a dostať fotokópie zo spisov, navrhnúť dôkazy (napr. vyhotovenie znaleckého posudku, vypočutie svedkov) a klásť svedkom a znalcom otázky pri ústnom pojednávaní a miestnej ohliadke.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Účastník konania má právo ešte pred vydaním rozhodnutia vyjadriť sa ku všetkým podkladom rozhodnutia v úradnom spise a navrhovať doplnenie podkladov rozhodnutia, čo mu je správny orgán povinný umožniť (§ 33 ods. 2 Správneho poriadku).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Účastník konania má právo na doručenie rozhodnutia, má právo podať proti rozhodnutiu odvolanie, vyjadriť sa k odvolaniu podanému inými účastníkmi, podať návrh na obnovu konania a návrh na preskúmanie rozhodnutia v mimo odvolacom konaní alebo v konaní pred súdom.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Podľa § 47 ods. 3 zákona č. 71/1967 Zb. o správnom konaní „V odôvodnení rozhodnutia správny orgán uvedie, ktoré skutočnosti boli podkladom pre rozhodnutie, akými úvahami bol vedený pri hodnotení dôkazov, ako použil správnu úvahu pri použití právnych predpisov, na </w:t>
      </w:r>
      <w:r w:rsidRPr="004834B2">
        <w:rPr>
          <w:rFonts w:ascii="Times New Roman" w:eastAsia="Calibri" w:hAnsi="Times New Roman" w:cs="Times New Roman"/>
          <w:sz w:val="24"/>
          <w:szCs w:val="24"/>
        </w:rPr>
        <w:lastRenderedPageBreak/>
        <w:t>základe ktorých rozhodoval, a ako sa vyrovnal s návrhmi a námietkami účastníkov konania a s ich vyjadreniami k podkladom rozhodnutia.“ V zmysle zákona žiadam, aby sa stavebný úrad v rozhodnutí vyrovnal s námietkami účastníkov konania a s ich vyjadreniami k podkladom rozhodnutia.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Žiadam, aby mi stavebný úrad podľa § 33 ods. 2 Správneho poriadku ešte pred vydaním rozhodnutia umožnil vyjadriť sa ku všetkým podkladom rozhodnutia v úradnom spise a navrhovať doplnenie podkladov rozhodnutia. V nadväznosti na toto zákonné ustanovenie žiadam, aby ma stavebný úrad upovedomil, ak bude považovať podklady rozhodnutia za dostatočné na vydanie rozhodnutia, že môžem využiť spomínané zákonné právo.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Podľa § 36 ods. 1 Stavebného zákona  „Stavebný úrad oznámi začatie územného konania dotknutým orgánom a všetkým známym účastníkom a nariadi ústne pojednávanie spojené spravidla s miestnym zisťovaním.“ Podľa § 36 ods. 1 Stavebného zákona v oznámení o začatí konania je stavebný úrad povinný upozorniť účastníkov a  dotknuté  orgány  štátnej správy, že námietky a stanoviská môžu uplatniť najneskoršie pri ústnom konaní, inak že sa na ne neprihliadne.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Žiadam, aby som bol o začatí konania a o všetkých úkonoch osobitne písomne oboznámený zaslaním oznámenia na moju adresu.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Zároveň upozorňujem na ustanovenie § 3 ods. 5 zákona č. 71/1967 Zb. o správnom konaní, stanovujúce povinnosť informovať aj všeobecnú verejnosť, podľa ktorého „Správne  orgány  sú  povinné  na  úradnej tabuli správneho orgánu,  na internete,  ak majú  k nemu  prístup, prípadne aj iným vhodným   spôsobom  zrozumiteľne   a  včas   informovať  verejnosť o začatí, uskutočňovaní a o skončení  konania vo veciach, ktoré sú predmetom záujmu verejnosti alebo o ktorých to ustanovuje osobitný zákon. Pritom sú povinné ochraňovať práva a právom chránené záujmy účastníkov konania  a iných osôb.  Úradná tabuľa správneho  orgánu musí byť nepretržite prístupná verejnosti.“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Ak stavebný úrad nebude rešpektovať vyššie spomínané zákonné ustanovenia a moje práva účastníka konania, bude to mať za následok nezákonnosť rozhodnutia, čo bude dôvodom na zrušenie rozhodnutia v odvolacom konaní, prípadne v súdnom konaní o preskúmaní zákonnosti rozhodnutia.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i/>
          <w:sz w:val="24"/>
          <w:szCs w:val="24"/>
        </w:rPr>
        <w:t>Podľa § 46 Správneho poriadku rozhodnutie správneho orgánu musí byť v súlade so zákonmi</w:t>
      </w: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a ostatnými právnymi predpismi, musí ho vydať orgán na to príslušný, </w:t>
      </w:r>
      <w:r w:rsidRPr="004834B2">
        <w:rPr>
          <w:rFonts w:ascii="Times New Roman" w:eastAsia="Calibri" w:hAnsi="Times New Roman" w:cs="Times New Roman"/>
          <w:b/>
          <w:sz w:val="24"/>
          <w:szCs w:val="24"/>
        </w:rPr>
        <w:t>musí vychádzať zo spoľahlivo zisteného stavu veci</w:t>
      </w: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r w:rsidRPr="004834B2">
        <w:rPr>
          <w:rFonts w:ascii="Times New Roman" w:eastAsia="Calibri" w:hAnsi="Times New Roman" w:cs="Times New Roman"/>
          <w:b/>
          <w:sz w:val="24"/>
          <w:szCs w:val="24"/>
        </w:rPr>
        <w:t>v odôvodnení sa má uviesť, ktoré skutočnosti boli podkladom na rozhodnutie</w:t>
      </w:r>
      <w:r w:rsidRPr="004834B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>V Nových Zámkoch dňa</w:t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  <w:t>.....................................................</w:t>
      </w:r>
    </w:p>
    <w:p w:rsidR="004834B2" w:rsidRPr="004834B2" w:rsidRDefault="004834B2" w:rsidP="004834B2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</w:r>
      <w:r w:rsidRPr="004834B2">
        <w:rPr>
          <w:rFonts w:ascii="Times New Roman" w:eastAsia="Calibri" w:hAnsi="Times New Roman" w:cs="Times New Roman"/>
          <w:sz w:val="24"/>
          <w:szCs w:val="24"/>
        </w:rPr>
        <w:tab/>
        <w:t>Jožko Mrkvička</w:t>
      </w:r>
    </w:p>
    <w:p w:rsidR="004834B2" w:rsidRPr="004834B2" w:rsidRDefault="004834B2" w:rsidP="004834B2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EC7B46" w:rsidRPr="004F1645" w:rsidRDefault="004F1645">
      <w:pPr>
        <w:rPr>
          <w:rFonts w:ascii="Times New Roman" w:hAnsi="Times New Roman" w:cs="Times New Roman"/>
        </w:rPr>
      </w:pPr>
    </w:p>
    <w:sectPr w:rsidR="00EC7B46" w:rsidRPr="004F1645" w:rsidSect="000531C1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405" w:rsidRDefault="00754405" w:rsidP="00754405">
      <w:pPr>
        <w:spacing w:after="0" w:line="240" w:lineRule="auto"/>
      </w:pPr>
      <w:r>
        <w:separator/>
      </w:r>
    </w:p>
  </w:endnote>
  <w:endnote w:type="continuationSeparator" w:id="0">
    <w:p w:rsidR="00754405" w:rsidRDefault="00754405" w:rsidP="00754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405" w:rsidRDefault="00754405" w:rsidP="00754405">
      <w:pPr>
        <w:spacing w:after="0" w:line="240" w:lineRule="auto"/>
      </w:pPr>
      <w:r>
        <w:separator/>
      </w:r>
    </w:p>
  </w:footnote>
  <w:footnote w:type="continuationSeparator" w:id="0">
    <w:p w:rsidR="00754405" w:rsidRDefault="00754405" w:rsidP="00754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  <w:szCs w:val="16"/>
      </w:rPr>
      <w:id w:val="1477648756"/>
      <w:docPartObj>
        <w:docPartGallery w:val="Page Numbers (Top of Page)"/>
        <w:docPartUnique/>
      </w:docPartObj>
    </w:sdtPr>
    <w:sdtEndPr/>
    <w:sdtContent>
      <w:p w:rsidR="00C406F6" w:rsidRPr="00681C40" w:rsidRDefault="00754405" w:rsidP="00C406F6">
        <w:pPr>
          <w:jc w:val="both"/>
          <w:rPr>
            <w:rFonts w:ascii="Times New Roman" w:hAnsi="Times New Roman" w:cs="Times New Roman"/>
            <w:sz w:val="24"/>
            <w:szCs w:val="24"/>
          </w:rPr>
        </w:pPr>
        <w:r w:rsidRPr="00754405">
          <w:rPr>
            <w:rFonts w:ascii="Times New Roman" w:eastAsia="Calibri" w:hAnsi="Times New Roman" w:cs="Times New Roman"/>
            <w:sz w:val="20"/>
            <w:szCs w:val="20"/>
          </w:rPr>
          <w:t>Žiadosť o účastníctvo v konaní a ž</w:t>
        </w:r>
        <w:r w:rsidRPr="004834B2">
          <w:rPr>
            <w:rFonts w:ascii="Times New Roman" w:eastAsia="Calibri" w:hAnsi="Times New Roman" w:cs="Times New Roman"/>
            <w:sz w:val="20"/>
            <w:szCs w:val="20"/>
          </w:rPr>
          <w:t>iadosť o rešpektovanie práv účastníka konania</w:t>
        </w:r>
        <w:r>
          <w:rPr>
            <w:rFonts w:ascii="Times New Roman" w:eastAsia="Calibri" w:hAnsi="Times New Roman" w:cs="Times New Roman"/>
            <w:sz w:val="20"/>
            <w:szCs w:val="20"/>
          </w:rPr>
          <w:t>...</w:t>
        </w:r>
        <w:r w:rsidR="004F1645" w:rsidRPr="00754405">
          <w:rPr>
            <w:rFonts w:ascii="Times New Roman" w:hAnsi="Times New Roman" w:cs="Times New Roman"/>
            <w:sz w:val="20"/>
            <w:szCs w:val="20"/>
          </w:rPr>
          <w:tab/>
        </w:r>
        <w:r w:rsidR="004F1645">
          <w:rPr>
            <w:rFonts w:ascii="Times New Roman" w:hAnsi="Times New Roman" w:cs="Times New Roman"/>
            <w:sz w:val="20"/>
            <w:szCs w:val="20"/>
          </w:rPr>
          <w:tab/>
        </w:r>
        <w:r w:rsidR="004F1645" w:rsidRPr="00C406F6">
          <w:rPr>
            <w:sz w:val="16"/>
            <w:szCs w:val="16"/>
          </w:rPr>
          <w:t xml:space="preserve"> </w:t>
        </w:r>
        <w:r w:rsidR="004F1645" w:rsidRPr="002B393A">
          <w:rPr>
            <w:sz w:val="16"/>
            <w:szCs w:val="16"/>
          </w:rPr>
          <w:t xml:space="preserve">Strana </w:t>
        </w:r>
        <w:r w:rsidR="004F1645" w:rsidRPr="002B393A">
          <w:rPr>
            <w:b/>
            <w:bCs/>
            <w:sz w:val="16"/>
            <w:szCs w:val="16"/>
          </w:rPr>
          <w:fldChar w:fldCharType="begin"/>
        </w:r>
        <w:r w:rsidR="004F1645" w:rsidRPr="002B393A">
          <w:rPr>
            <w:b/>
            <w:bCs/>
            <w:sz w:val="16"/>
            <w:szCs w:val="16"/>
          </w:rPr>
          <w:instrText>PAGE</w:instrText>
        </w:r>
        <w:r w:rsidR="004F1645" w:rsidRPr="002B393A">
          <w:rPr>
            <w:b/>
            <w:bCs/>
            <w:sz w:val="16"/>
            <w:szCs w:val="16"/>
          </w:rPr>
          <w:fldChar w:fldCharType="separate"/>
        </w:r>
        <w:r w:rsidR="004F1645">
          <w:rPr>
            <w:b/>
            <w:bCs/>
            <w:noProof/>
            <w:sz w:val="16"/>
            <w:szCs w:val="16"/>
          </w:rPr>
          <w:t>2</w:t>
        </w:r>
        <w:r w:rsidR="004F1645" w:rsidRPr="002B393A">
          <w:rPr>
            <w:b/>
            <w:bCs/>
            <w:sz w:val="16"/>
            <w:szCs w:val="16"/>
          </w:rPr>
          <w:fldChar w:fldCharType="end"/>
        </w:r>
        <w:r w:rsidR="004F1645" w:rsidRPr="002B393A">
          <w:rPr>
            <w:sz w:val="16"/>
            <w:szCs w:val="16"/>
          </w:rPr>
          <w:t xml:space="preserve"> z </w:t>
        </w:r>
        <w:r w:rsidR="004F1645" w:rsidRPr="002B393A">
          <w:rPr>
            <w:b/>
            <w:bCs/>
            <w:sz w:val="16"/>
            <w:szCs w:val="16"/>
          </w:rPr>
          <w:fldChar w:fldCharType="begin"/>
        </w:r>
        <w:r w:rsidR="004F1645" w:rsidRPr="002B393A">
          <w:rPr>
            <w:b/>
            <w:bCs/>
            <w:sz w:val="16"/>
            <w:szCs w:val="16"/>
          </w:rPr>
          <w:instrText>NUMPAGES</w:instrText>
        </w:r>
        <w:r w:rsidR="004F1645" w:rsidRPr="002B393A">
          <w:rPr>
            <w:b/>
            <w:bCs/>
            <w:sz w:val="16"/>
            <w:szCs w:val="16"/>
          </w:rPr>
          <w:fldChar w:fldCharType="separate"/>
        </w:r>
        <w:r w:rsidR="004F1645">
          <w:rPr>
            <w:b/>
            <w:bCs/>
            <w:noProof/>
            <w:sz w:val="16"/>
            <w:szCs w:val="16"/>
          </w:rPr>
          <w:t>4</w:t>
        </w:r>
        <w:r w:rsidR="004F1645" w:rsidRPr="002B393A">
          <w:rPr>
            <w:b/>
            <w:bCs/>
            <w:sz w:val="16"/>
            <w:szCs w:val="16"/>
          </w:rPr>
          <w:fldChar w:fldCharType="end"/>
        </w:r>
      </w:p>
      <w:p w:rsidR="002B393A" w:rsidRPr="002B393A" w:rsidRDefault="004F1645" w:rsidP="002B393A">
        <w:pPr>
          <w:pStyle w:val="Zhlav"/>
          <w:rPr>
            <w:sz w:val="16"/>
            <w:szCs w:val="16"/>
          </w:rPr>
        </w:pP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</w:p>
    </w:sdtContent>
  </w:sdt>
  <w:p w:rsidR="002B393A" w:rsidRPr="002B393A" w:rsidRDefault="004F1645">
    <w:pPr>
      <w:pStyle w:val="Zhlav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4B2"/>
    <w:rsid w:val="001B5036"/>
    <w:rsid w:val="003916FF"/>
    <w:rsid w:val="00412AEC"/>
    <w:rsid w:val="004834B2"/>
    <w:rsid w:val="004F1645"/>
    <w:rsid w:val="0075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Rovná spojovacia šípka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50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34B2"/>
  </w:style>
  <w:style w:type="paragraph" w:styleId="Zpat">
    <w:name w:val="footer"/>
    <w:basedOn w:val="Normln"/>
    <w:link w:val="ZpatChar"/>
    <w:uiPriority w:val="99"/>
    <w:semiHidden/>
    <w:unhideWhenUsed/>
    <w:rsid w:val="007544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544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ovezamky.sk/assets/File.ashx?id_org=70003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1716</Words>
  <Characters>9782</Characters>
  <Application>Microsoft Office Word</Application>
  <DocSecurity>0</DocSecurity>
  <Lines>81</Lines>
  <Paragraphs>22</Paragraphs>
  <ScaleCrop>false</ScaleCrop>
  <Company/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Podbehlý</dc:creator>
  <cp:lastModifiedBy>Peter Podbehlý</cp:lastModifiedBy>
  <cp:revision>3</cp:revision>
  <dcterms:created xsi:type="dcterms:W3CDTF">2021-11-19T09:07:00Z</dcterms:created>
  <dcterms:modified xsi:type="dcterms:W3CDTF">2021-11-19T09:13:00Z</dcterms:modified>
</cp:coreProperties>
</file>